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4FE" w:rsidRPr="00927465" w:rsidRDefault="00AA74FE" w:rsidP="00AA74FE">
      <w:pPr>
        <w:pBdr>
          <w:bottom w:val="single" w:sz="12" w:space="1" w:color="auto"/>
        </w:pBdr>
        <w:rPr>
          <w:rFonts w:asciiTheme="majorHAnsi" w:hAnsiTheme="majorHAnsi"/>
          <w:color w:val="000000"/>
          <w:sz w:val="24"/>
          <w:szCs w:val="24"/>
        </w:rPr>
      </w:pPr>
      <w:r w:rsidRPr="00927465">
        <w:rPr>
          <w:rFonts w:asciiTheme="majorHAnsi" w:hAnsiTheme="majorHAnsi"/>
          <w:color w:val="000000"/>
          <w:sz w:val="24"/>
          <w:szCs w:val="24"/>
        </w:rPr>
        <w:t>Anhang 5:</w:t>
      </w:r>
    </w:p>
    <w:p w:rsidR="00AA74FE" w:rsidRPr="00927465" w:rsidRDefault="00AA74FE" w:rsidP="00AA74FE">
      <w:pPr>
        <w:rPr>
          <w:rFonts w:asciiTheme="majorHAnsi" w:hAnsiTheme="majorHAnsi"/>
          <w:color w:val="000000"/>
          <w:sz w:val="10"/>
          <w:szCs w:val="10"/>
        </w:rPr>
      </w:pPr>
    </w:p>
    <w:p w:rsidR="00AA74FE" w:rsidRPr="00927465" w:rsidRDefault="00AA74FE" w:rsidP="00AA74FE">
      <w:pPr>
        <w:rPr>
          <w:rFonts w:asciiTheme="majorHAnsi" w:hAnsiTheme="majorHAnsi"/>
          <w:color w:val="000000"/>
          <w:sz w:val="36"/>
          <w:szCs w:val="36"/>
        </w:rPr>
      </w:pPr>
      <w:r w:rsidRPr="00927465">
        <w:rPr>
          <w:rFonts w:asciiTheme="majorHAnsi" w:hAnsiTheme="majorHAnsi"/>
          <w:color w:val="000000"/>
          <w:sz w:val="36"/>
          <w:szCs w:val="36"/>
        </w:rPr>
        <w:t>Sexuelle Übergriffe von Kindern und Jugendlichen untereinander</w:t>
      </w:r>
    </w:p>
    <w:p w:rsidR="00AA74FE" w:rsidRPr="00927465" w:rsidRDefault="00AA74FE" w:rsidP="00AA74FE">
      <w:pPr>
        <w:rPr>
          <w:rFonts w:asciiTheme="majorHAnsi" w:hAnsiTheme="majorHAnsi"/>
          <w:color w:val="000000"/>
          <w:sz w:val="24"/>
          <w:szCs w:val="24"/>
        </w:rPr>
      </w:pPr>
      <w:r w:rsidRPr="00927465">
        <w:rPr>
          <w:rFonts w:asciiTheme="majorHAnsi" w:hAnsiTheme="majorHAnsi"/>
          <w:color w:val="000000"/>
          <w:sz w:val="24"/>
          <w:szCs w:val="24"/>
        </w:rPr>
        <w:t xml:space="preserve"> </w:t>
      </w:r>
    </w:p>
    <w:p w:rsidR="00AA74FE" w:rsidRPr="00927465" w:rsidRDefault="00AA74FE" w:rsidP="00AA74FE">
      <w:pPr>
        <w:spacing w:line="360" w:lineRule="auto"/>
        <w:rPr>
          <w:rFonts w:asciiTheme="majorHAnsi" w:hAnsiTheme="majorHAnsi"/>
          <w:color w:val="000000"/>
          <w:sz w:val="24"/>
          <w:szCs w:val="24"/>
        </w:rPr>
      </w:pPr>
      <w:r w:rsidRPr="00927465">
        <w:rPr>
          <w:rFonts w:asciiTheme="majorHAnsi" w:hAnsiTheme="majorHAnsi"/>
          <w:color w:val="000000"/>
          <w:sz w:val="24"/>
          <w:szCs w:val="24"/>
        </w:rPr>
        <w:t>Bei der Thematik sexuell übergriffiger Kinder und Jugendlicher würde ein reiner Verfahrensablauf zu kurz greifen. Bei sexuell übergriffigen Kindern und Jugendlichen muss über pädagogische Interventionen gesprochen werden auf der Grundlage von einer differenzierten Betrachtung von Grenzverletzungen, Übergriffen und sexuellem Missbrauch. Gerade bei übergriffigen Kindern sind das pädagogische Umgehen mit diesem Verhalten, Schutz der betroffenen Kinder und wirksame Formen der Einflussnahme auf übergriffige Kinder gefragt. Dazu ist es in der Regel notwendig, sich von einschlägigen Beratungsstellen beraten und ggf. begleiten zu lassen.</w:t>
      </w:r>
    </w:p>
    <w:p w:rsidR="00AA74FE" w:rsidRPr="00927465" w:rsidRDefault="00AA74FE" w:rsidP="00AA74FE">
      <w:pPr>
        <w:spacing w:line="360" w:lineRule="auto"/>
        <w:rPr>
          <w:rFonts w:asciiTheme="majorHAnsi" w:hAnsiTheme="majorHAnsi"/>
          <w:color w:val="000000"/>
          <w:sz w:val="24"/>
          <w:szCs w:val="24"/>
        </w:rPr>
      </w:pPr>
    </w:p>
    <w:p w:rsidR="00AA74FE" w:rsidRPr="00927465" w:rsidRDefault="00AA74FE" w:rsidP="00AA74FE">
      <w:pPr>
        <w:spacing w:line="360" w:lineRule="auto"/>
        <w:rPr>
          <w:rFonts w:asciiTheme="majorHAnsi" w:hAnsiTheme="majorHAnsi"/>
          <w:i/>
          <w:color w:val="000000"/>
          <w:sz w:val="24"/>
          <w:szCs w:val="24"/>
        </w:rPr>
      </w:pPr>
      <w:r w:rsidRPr="00927465">
        <w:rPr>
          <w:rFonts w:asciiTheme="majorHAnsi" w:hAnsiTheme="majorHAnsi"/>
          <w:i/>
          <w:color w:val="000000"/>
          <w:sz w:val="24"/>
          <w:szCs w:val="24"/>
        </w:rPr>
        <w:t>(Text aus: Der Paritätische: Arbeitshilfe Kinder- und Jugendschutz in Einrichtungen – dort weitere Hinweise ab Seite 24)</w:t>
      </w:r>
    </w:p>
    <w:p w:rsidR="00C16723" w:rsidRDefault="00C16723">
      <w:bookmarkStart w:id="0" w:name="_GoBack"/>
      <w:bookmarkEnd w:id="0"/>
    </w:p>
    <w:sectPr w:rsidR="00C16723" w:rsidSect="005B4561">
      <w:pgSz w:w="11906" w:h="16838"/>
      <w:pgMar w:top="964"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fficinaSansITCPro Book">
    <w:panose1 w:val="02000506040000020004"/>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61"/>
    <w:rsid w:val="003170F6"/>
    <w:rsid w:val="005B4561"/>
    <w:rsid w:val="00AA74FE"/>
    <w:rsid w:val="00C16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6A3F"/>
  <w15:chartTrackingRefBased/>
  <w15:docId w15:val="{AFBB4495-009A-45F2-86CB-495026C0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fficinaSansITCPro Book" w:eastAsiaTheme="minorHAnsi" w:hAnsi="OfficinaSansITCPro Book"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Nimz</dc:creator>
  <cp:keywords/>
  <dc:description/>
  <cp:lastModifiedBy>Dörte Nimz</cp:lastModifiedBy>
  <cp:revision>2</cp:revision>
  <dcterms:created xsi:type="dcterms:W3CDTF">2017-01-05T13:38:00Z</dcterms:created>
  <dcterms:modified xsi:type="dcterms:W3CDTF">2017-01-05T13:38:00Z</dcterms:modified>
</cp:coreProperties>
</file>