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0C" w:rsidRPr="00927465" w:rsidRDefault="001C6E0C" w:rsidP="001C6E0C">
      <w:pPr>
        <w:pBdr>
          <w:bottom w:val="single" w:sz="12" w:space="1" w:color="auto"/>
        </w:pBdr>
        <w:rPr>
          <w:rFonts w:asciiTheme="majorHAnsi" w:hAnsiTheme="majorHAnsi"/>
          <w:color w:val="000000"/>
          <w:sz w:val="24"/>
          <w:szCs w:val="24"/>
        </w:rPr>
      </w:pPr>
      <w:r w:rsidRPr="00927465">
        <w:rPr>
          <w:rFonts w:asciiTheme="majorHAnsi" w:hAnsiTheme="majorHAnsi"/>
          <w:color w:val="000000"/>
          <w:sz w:val="24"/>
          <w:szCs w:val="24"/>
        </w:rPr>
        <w:t xml:space="preserve">Anhang </w:t>
      </w:r>
      <w:r>
        <w:rPr>
          <w:rFonts w:asciiTheme="majorHAnsi" w:hAnsiTheme="majorHAnsi"/>
          <w:color w:val="000000"/>
          <w:sz w:val="24"/>
          <w:szCs w:val="24"/>
        </w:rPr>
        <w:t>6</w:t>
      </w:r>
      <w:r w:rsidRPr="00927465">
        <w:rPr>
          <w:rFonts w:asciiTheme="majorHAnsi" w:hAnsiTheme="majorHAnsi"/>
          <w:color w:val="000000"/>
          <w:sz w:val="24"/>
          <w:szCs w:val="24"/>
        </w:rPr>
        <w:t>:</w:t>
      </w:r>
    </w:p>
    <w:p w:rsidR="001C6E0C" w:rsidRPr="00927465" w:rsidRDefault="001C6E0C" w:rsidP="001C6E0C">
      <w:pPr>
        <w:rPr>
          <w:rFonts w:asciiTheme="majorHAnsi" w:hAnsiTheme="majorHAnsi"/>
          <w:color w:val="000000"/>
          <w:sz w:val="10"/>
          <w:szCs w:val="10"/>
        </w:rPr>
      </w:pPr>
    </w:p>
    <w:p w:rsidR="001C6E0C" w:rsidRPr="00E51B34" w:rsidRDefault="001C6E0C" w:rsidP="001C6E0C">
      <w:pPr>
        <w:rPr>
          <w:rFonts w:asciiTheme="majorHAnsi" w:hAnsiTheme="majorHAnsi"/>
          <w:color w:val="000000"/>
          <w:sz w:val="24"/>
          <w:szCs w:val="24"/>
        </w:rPr>
      </w:pPr>
      <w:r w:rsidRPr="00E51B34">
        <w:rPr>
          <w:rFonts w:asciiTheme="majorHAnsi" w:hAnsiTheme="majorHAnsi"/>
          <w:color w:val="000000"/>
          <w:sz w:val="24"/>
          <w:szCs w:val="24"/>
          <w:highlight w:val="lightGray"/>
        </w:rPr>
        <w:t>Auch in der Einrichtung selbst kann es jederzeit zu Unfällen kommen. Diese Regeln schaffen Klarheit, wie man sich in diesem Fall zu verhalten hat. Die zweite Seite ist als Aushang gedacht und sollte in jedem Raum gut sichtbar angebracht werden.</w:t>
      </w:r>
    </w:p>
    <w:p w:rsidR="001C6E0C" w:rsidRPr="00E51B34" w:rsidRDefault="001C6E0C" w:rsidP="001C6E0C">
      <w:pPr>
        <w:rPr>
          <w:rFonts w:asciiTheme="majorHAnsi" w:hAnsiTheme="majorHAnsi"/>
          <w:color w:val="000000"/>
          <w:sz w:val="24"/>
          <w:szCs w:val="24"/>
        </w:rPr>
      </w:pPr>
    </w:p>
    <w:p w:rsidR="001C6E0C" w:rsidRPr="0061448E" w:rsidRDefault="001C6E0C" w:rsidP="001C6E0C">
      <w:pPr>
        <w:rPr>
          <w:rFonts w:asciiTheme="majorHAnsi" w:hAnsiTheme="majorHAnsi"/>
          <w:color w:val="000000"/>
          <w:sz w:val="36"/>
          <w:szCs w:val="36"/>
        </w:rPr>
      </w:pPr>
      <w:r w:rsidRPr="0061448E">
        <w:rPr>
          <w:rFonts w:asciiTheme="majorHAnsi" w:hAnsiTheme="majorHAnsi"/>
          <w:color w:val="000000"/>
          <w:sz w:val="36"/>
          <w:szCs w:val="36"/>
        </w:rPr>
        <w:t>Verfahrensregeln zum Umgang</w:t>
      </w:r>
      <w:r>
        <w:rPr>
          <w:rFonts w:asciiTheme="majorHAnsi" w:hAnsiTheme="majorHAnsi"/>
          <w:color w:val="000000"/>
          <w:sz w:val="36"/>
          <w:szCs w:val="36"/>
        </w:rPr>
        <w:t xml:space="preserve"> </w:t>
      </w:r>
      <w:r w:rsidRPr="0061448E">
        <w:rPr>
          <w:rFonts w:asciiTheme="majorHAnsi" w:hAnsiTheme="majorHAnsi"/>
          <w:color w:val="000000"/>
          <w:sz w:val="36"/>
          <w:szCs w:val="36"/>
        </w:rPr>
        <w:t>mit verletzten Kindern und Jugendlichen</w:t>
      </w:r>
    </w:p>
    <w:p w:rsidR="001C6E0C" w:rsidRDefault="001C6E0C" w:rsidP="001C6E0C">
      <w:pPr>
        <w:jc w:val="center"/>
        <w:rPr>
          <w:rFonts w:ascii="Helvetica Neue" w:hAnsi="Helvetica Neue"/>
          <w:sz w:val="28"/>
          <w:szCs w:val="28"/>
        </w:rPr>
      </w:pPr>
    </w:p>
    <w:p w:rsidR="001C6E0C" w:rsidRPr="0061448E" w:rsidRDefault="001C6E0C" w:rsidP="001C6E0C">
      <w:pPr>
        <w:spacing w:line="360" w:lineRule="auto"/>
        <w:rPr>
          <w:rFonts w:asciiTheme="majorHAnsi" w:hAnsiTheme="majorHAnsi"/>
          <w:color w:val="000000"/>
          <w:sz w:val="24"/>
          <w:szCs w:val="24"/>
        </w:rPr>
      </w:pPr>
      <w:r w:rsidRPr="0061448E">
        <w:rPr>
          <w:rFonts w:asciiTheme="majorHAnsi" w:hAnsiTheme="majorHAnsi"/>
          <w:color w:val="000000"/>
          <w:sz w:val="24"/>
          <w:szCs w:val="24"/>
        </w:rPr>
        <w:t xml:space="preserve">Kinder und Jugendliche </w:t>
      </w:r>
      <w:r>
        <w:rPr>
          <w:rFonts w:asciiTheme="majorHAnsi" w:hAnsiTheme="majorHAnsi"/>
          <w:color w:val="000000"/>
          <w:sz w:val="24"/>
          <w:szCs w:val="24"/>
        </w:rPr>
        <w:t xml:space="preserve">in unserer Einrichtung </w:t>
      </w:r>
      <w:r w:rsidRPr="0061448E">
        <w:rPr>
          <w:rFonts w:asciiTheme="majorHAnsi" w:hAnsiTheme="majorHAnsi"/>
          <w:color w:val="000000"/>
          <w:sz w:val="24"/>
          <w:szCs w:val="24"/>
        </w:rPr>
        <w:t xml:space="preserve">vor Unfällen und Gesundheitsgefahren zu schützen ist eine gemeinsame Aufgabe aller Team-Mitglieder. Will man jungen Menschen Erfahrungs- und Entwicklungsräume anbieten, in denen sie sich erproben können und auch sollen, lassen sich Unfälle und Verletzungen jedoch nie ausschließen. Diese Verfahrensregeln haben daher den Zweck, Leitlinien für angemessenes und situationsgerechtes Verhalten im Notfall aufzuzeigen. </w:t>
      </w:r>
      <w:r>
        <w:rPr>
          <w:rFonts w:asciiTheme="majorHAnsi" w:hAnsiTheme="majorHAnsi"/>
          <w:color w:val="000000"/>
          <w:sz w:val="24"/>
          <w:szCs w:val="24"/>
        </w:rPr>
        <w:t xml:space="preserve">Sie werden in allen unseren Räumen ausgehängt, sodass sie jederzeit sichtbar sind. </w:t>
      </w:r>
      <w:r w:rsidRPr="0061448E">
        <w:rPr>
          <w:rFonts w:asciiTheme="majorHAnsi" w:hAnsiTheme="majorHAnsi"/>
          <w:color w:val="000000"/>
          <w:sz w:val="24"/>
          <w:szCs w:val="24"/>
        </w:rPr>
        <w:t>Wir wollen nicht nur gesetzliche Anforderungen umfassend umsetzen und damit haftungsrechtliche Risiken minimieren, sondern vor allem eine kompetente Betreuung sicherstellen</w:t>
      </w:r>
      <w:r>
        <w:rPr>
          <w:rFonts w:asciiTheme="majorHAnsi" w:hAnsiTheme="majorHAnsi"/>
          <w:color w:val="000000"/>
          <w:sz w:val="24"/>
          <w:szCs w:val="24"/>
        </w:rPr>
        <w:t>.</w:t>
      </w:r>
    </w:p>
    <w:p w:rsidR="001C6E0C" w:rsidRPr="0061448E" w:rsidRDefault="001C6E0C" w:rsidP="001C6E0C">
      <w:pPr>
        <w:spacing w:line="360" w:lineRule="auto"/>
        <w:rPr>
          <w:rFonts w:asciiTheme="majorHAnsi" w:hAnsiTheme="majorHAnsi"/>
          <w:color w:val="000000"/>
          <w:sz w:val="24"/>
          <w:szCs w:val="24"/>
        </w:rPr>
      </w:pPr>
    </w:p>
    <w:p w:rsidR="001C6E0C" w:rsidRPr="0061448E" w:rsidRDefault="001C6E0C" w:rsidP="001C6E0C">
      <w:pPr>
        <w:spacing w:line="360" w:lineRule="auto"/>
        <w:rPr>
          <w:rFonts w:asciiTheme="majorHAnsi" w:hAnsiTheme="majorHAnsi"/>
          <w:color w:val="000000"/>
          <w:sz w:val="24"/>
          <w:szCs w:val="24"/>
        </w:rPr>
      </w:pPr>
      <w:r w:rsidRPr="0061448E">
        <w:rPr>
          <w:rFonts w:asciiTheme="majorHAnsi" w:hAnsiTheme="majorHAnsi"/>
          <w:color w:val="000000"/>
          <w:sz w:val="24"/>
          <w:szCs w:val="24"/>
        </w:rPr>
        <w:t>Über die im Folgenden aufgelisteten Abläufe hinaus gelten folgende Standards:</w:t>
      </w:r>
    </w:p>
    <w:p w:rsidR="001C6E0C" w:rsidRPr="0061448E" w:rsidRDefault="001C6E0C" w:rsidP="001C6E0C">
      <w:pPr>
        <w:widowControl w:val="0"/>
        <w:numPr>
          <w:ilvl w:val="0"/>
          <w:numId w:val="1"/>
        </w:numPr>
        <w:spacing w:line="360" w:lineRule="auto"/>
        <w:rPr>
          <w:rFonts w:asciiTheme="majorHAnsi" w:hAnsiTheme="majorHAnsi"/>
          <w:color w:val="000000"/>
          <w:sz w:val="24"/>
          <w:szCs w:val="24"/>
        </w:rPr>
      </w:pPr>
      <w:r w:rsidRPr="0061448E">
        <w:rPr>
          <w:rFonts w:asciiTheme="majorHAnsi" w:hAnsiTheme="majorHAnsi"/>
          <w:color w:val="000000"/>
          <w:sz w:val="24"/>
          <w:szCs w:val="24"/>
        </w:rPr>
        <w:t>Alle festangestellten Mitarbeiter</w:t>
      </w:r>
      <w:r w:rsidR="0052215E">
        <w:rPr>
          <w:rFonts w:asciiTheme="majorHAnsi" w:hAnsiTheme="majorHAnsi"/>
          <w:color w:val="000000"/>
          <w:sz w:val="24"/>
          <w:szCs w:val="24"/>
        </w:rPr>
        <w:t>*innen</w:t>
      </w:r>
      <w:r w:rsidRPr="0061448E">
        <w:rPr>
          <w:rFonts w:asciiTheme="majorHAnsi" w:hAnsiTheme="majorHAnsi"/>
          <w:color w:val="000000"/>
          <w:sz w:val="24"/>
          <w:szCs w:val="24"/>
        </w:rPr>
        <w:t xml:space="preserve"> absolvieren im zweijährigen Turnus einen Erste-Hilfe-Auffrischungskurs</w:t>
      </w:r>
    </w:p>
    <w:p w:rsidR="001C6E0C" w:rsidRPr="00EF1D7E" w:rsidRDefault="001C6E0C" w:rsidP="001C6E0C">
      <w:pPr>
        <w:widowControl w:val="0"/>
        <w:numPr>
          <w:ilvl w:val="0"/>
          <w:numId w:val="1"/>
        </w:numPr>
        <w:spacing w:line="360" w:lineRule="auto"/>
        <w:rPr>
          <w:rFonts w:asciiTheme="majorHAnsi" w:hAnsiTheme="majorHAnsi"/>
          <w:color w:val="000000"/>
          <w:sz w:val="24"/>
          <w:szCs w:val="24"/>
        </w:rPr>
      </w:pPr>
      <w:r w:rsidRPr="0061448E">
        <w:rPr>
          <w:rFonts w:asciiTheme="majorHAnsi" w:hAnsiTheme="majorHAnsi"/>
          <w:color w:val="000000"/>
          <w:sz w:val="24"/>
          <w:szCs w:val="24"/>
        </w:rPr>
        <w:t>Alle Honorarkräfte sichten bei Neuanstellung die geltenden Verfahrensregelungen inkl. Gegenzeichnung und werden darauf aufmerksam gemacht, wo die Erste-Hilfe-Ausstattung aufbewahrt wird.</w:t>
      </w:r>
    </w:p>
    <w:p w:rsidR="001C6E0C" w:rsidRDefault="001C6E0C" w:rsidP="001C6E0C">
      <w:pPr>
        <w:rPr>
          <w:rFonts w:asciiTheme="majorHAnsi" w:hAnsiTheme="majorHAnsi"/>
          <w:color w:val="000000"/>
          <w:sz w:val="24"/>
          <w:szCs w:val="24"/>
        </w:rPr>
      </w:pPr>
      <w:r>
        <w:rPr>
          <w:rFonts w:asciiTheme="majorHAnsi" w:hAnsiTheme="majorHAnsi"/>
          <w:color w:val="000000"/>
          <w:sz w:val="24"/>
          <w:szCs w:val="24"/>
        </w:rPr>
        <w:br w:type="page"/>
      </w:r>
    </w:p>
    <w:p w:rsidR="001C6E0C" w:rsidRPr="0061448E" w:rsidRDefault="001C6E0C" w:rsidP="001C6E0C">
      <w:pPr>
        <w:rPr>
          <w:rFonts w:asciiTheme="majorHAnsi" w:hAnsiTheme="majorHAnsi"/>
          <w:color w:val="000000"/>
          <w:sz w:val="36"/>
          <w:szCs w:val="36"/>
        </w:rPr>
      </w:pPr>
      <w:r>
        <w:rPr>
          <w:rFonts w:asciiTheme="majorHAnsi" w:hAnsiTheme="majorHAnsi"/>
          <w:color w:val="000000"/>
          <w:sz w:val="36"/>
          <w:szCs w:val="36"/>
        </w:rPr>
        <w:lastRenderedPageBreak/>
        <w:t xml:space="preserve">Verfahrensablauf bei </w:t>
      </w:r>
      <w:r w:rsidRPr="0061448E">
        <w:rPr>
          <w:rFonts w:asciiTheme="majorHAnsi" w:hAnsiTheme="majorHAnsi"/>
          <w:color w:val="000000"/>
          <w:sz w:val="36"/>
          <w:szCs w:val="36"/>
        </w:rPr>
        <w:t>verletzten Kindern und Jugendlichen</w:t>
      </w:r>
    </w:p>
    <w:p w:rsidR="001C6E0C" w:rsidRPr="0061448E" w:rsidRDefault="001C6E0C" w:rsidP="001C6E0C">
      <w:pPr>
        <w:rPr>
          <w:rFonts w:asciiTheme="majorHAnsi" w:hAnsiTheme="majorHAnsi"/>
          <w:b/>
          <w:sz w:val="16"/>
          <w:szCs w:val="16"/>
          <w:u w:val="single"/>
        </w:rPr>
      </w:pPr>
    </w:p>
    <w:p w:rsidR="001C6E0C" w:rsidRPr="0061448E" w:rsidRDefault="001C6E0C" w:rsidP="001C6E0C">
      <w:pPr>
        <w:rPr>
          <w:rFonts w:asciiTheme="majorHAnsi" w:hAnsiTheme="majorHAnsi"/>
          <w:b/>
          <w:sz w:val="28"/>
          <w:szCs w:val="28"/>
        </w:rPr>
      </w:pPr>
      <w:r w:rsidRPr="0061448E">
        <w:rPr>
          <w:rFonts w:asciiTheme="majorHAnsi" w:hAnsiTheme="majorHAnsi"/>
          <w:b/>
          <w:sz w:val="28"/>
          <w:szCs w:val="28"/>
          <w:u w:val="single"/>
        </w:rPr>
        <w:t>Generell gilt:</w:t>
      </w:r>
      <w:r w:rsidRPr="0061448E">
        <w:rPr>
          <w:rFonts w:asciiTheme="majorHAnsi" w:hAnsiTheme="majorHAnsi"/>
          <w:b/>
          <w:sz w:val="28"/>
          <w:szCs w:val="28"/>
        </w:rPr>
        <w:t xml:space="preserve"> Im Zweifelsfall immer lieber den Notruf wählen!</w:t>
      </w:r>
    </w:p>
    <w:p w:rsidR="001C6E0C" w:rsidRPr="0061448E" w:rsidRDefault="001C6E0C" w:rsidP="001C6E0C">
      <w:pPr>
        <w:rPr>
          <w:rFonts w:asciiTheme="majorHAnsi" w:hAnsiTheme="majorHAnsi"/>
          <w:b/>
          <w:sz w:val="16"/>
          <w:szCs w:val="16"/>
        </w:rPr>
      </w:pPr>
    </w:p>
    <w:tbl>
      <w:tblPr>
        <w:tblStyle w:val="Tabellenraster"/>
        <w:tblW w:w="0" w:type="auto"/>
        <w:tblLook w:val="04A0" w:firstRow="1" w:lastRow="0" w:firstColumn="1" w:lastColumn="0" w:noHBand="0" w:noVBand="1"/>
      </w:tblPr>
      <w:tblGrid>
        <w:gridCol w:w="9968"/>
      </w:tblGrid>
      <w:tr w:rsidR="001C6E0C" w:rsidTr="00FB37FC">
        <w:tc>
          <w:tcPr>
            <w:tcW w:w="9968" w:type="dxa"/>
            <w:shd w:val="clear" w:color="auto" w:fill="92D050"/>
          </w:tcPr>
          <w:p w:rsidR="001C6E0C" w:rsidRPr="00CA380C" w:rsidRDefault="001C6E0C" w:rsidP="00FB37FC">
            <w:pPr>
              <w:jc w:val="center"/>
              <w:rPr>
                <w:rFonts w:asciiTheme="majorHAnsi" w:hAnsiTheme="majorHAnsi"/>
                <w:b/>
                <w:sz w:val="32"/>
                <w:szCs w:val="32"/>
              </w:rPr>
            </w:pPr>
            <w:r w:rsidRPr="00CA380C">
              <w:rPr>
                <w:rFonts w:asciiTheme="majorHAnsi" w:hAnsiTheme="majorHAnsi"/>
                <w:b/>
                <w:sz w:val="32"/>
                <w:szCs w:val="32"/>
              </w:rPr>
              <w:t>leichte Verletzung</w:t>
            </w:r>
          </w:p>
          <w:p w:rsidR="001C6E0C" w:rsidRDefault="001C6E0C" w:rsidP="00FB37FC">
            <w:pPr>
              <w:jc w:val="center"/>
              <w:rPr>
                <w:rFonts w:asciiTheme="majorHAnsi" w:hAnsiTheme="majorHAnsi"/>
                <w:b/>
                <w:sz w:val="32"/>
                <w:szCs w:val="32"/>
                <w:highlight w:val="green"/>
              </w:rPr>
            </w:pPr>
            <w:r w:rsidRPr="00CA380C">
              <w:rPr>
                <w:rFonts w:asciiTheme="majorHAnsi" w:hAnsiTheme="majorHAnsi"/>
                <w:sz w:val="32"/>
                <w:szCs w:val="32"/>
              </w:rPr>
              <w:t>pädagogische Unterstützung</w:t>
            </w:r>
          </w:p>
        </w:tc>
      </w:tr>
      <w:tr w:rsidR="001C6E0C" w:rsidRPr="00736448" w:rsidTr="00FB37FC">
        <w:tc>
          <w:tcPr>
            <w:tcW w:w="9968" w:type="dxa"/>
            <w:shd w:val="clear" w:color="auto" w:fill="auto"/>
          </w:tcPr>
          <w:p w:rsidR="001C6E0C" w:rsidRPr="00CA380C" w:rsidRDefault="001C6E0C" w:rsidP="00FB37FC">
            <w:pPr>
              <w:ind w:left="360"/>
              <w:rPr>
                <w:rFonts w:asciiTheme="majorHAnsi" w:hAnsiTheme="majorHAnsi"/>
                <w:sz w:val="16"/>
                <w:szCs w:val="16"/>
              </w:rPr>
            </w:pP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trösten/beruhigen</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Kühlkissen/Pflaster</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Kind beobachten</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 xml:space="preserve">Mitteilung an Leitung </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Mitteilung an Sorgeberechtigte (bei Abholung, sonst telefonisch)</w:t>
            </w:r>
          </w:p>
          <w:p w:rsidR="001C6E0C" w:rsidRPr="0061448E" w:rsidRDefault="001C6E0C" w:rsidP="00FB37FC">
            <w:pPr>
              <w:rPr>
                <w:rFonts w:asciiTheme="majorHAnsi" w:hAnsiTheme="majorHAnsi"/>
                <w:b/>
                <w:sz w:val="16"/>
                <w:szCs w:val="16"/>
                <w:highlight w:val="green"/>
              </w:rPr>
            </w:pPr>
          </w:p>
        </w:tc>
      </w:tr>
      <w:tr w:rsidR="001C6E0C" w:rsidRPr="00736448" w:rsidTr="00FB37FC">
        <w:tc>
          <w:tcPr>
            <w:tcW w:w="9968" w:type="dxa"/>
            <w:shd w:val="clear" w:color="auto" w:fill="FFFF00"/>
          </w:tcPr>
          <w:p w:rsidR="001C6E0C" w:rsidRPr="00CA380C" w:rsidRDefault="001C6E0C" w:rsidP="00FB37FC">
            <w:pPr>
              <w:jc w:val="center"/>
              <w:rPr>
                <w:rFonts w:asciiTheme="majorHAnsi" w:hAnsiTheme="majorHAnsi"/>
                <w:b/>
                <w:sz w:val="32"/>
                <w:szCs w:val="32"/>
              </w:rPr>
            </w:pPr>
            <w:r w:rsidRPr="00CA380C">
              <w:rPr>
                <w:rFonts w:asciiTheme="majorHAnsi" w:hAnsiTheme="majorHAnsi"/>
                <w:b/>
                <w:sz w:val="32"/>
                <w:szCs w:val="32"/>
              </w:rPr>
              <w:t>mittlere Verletzung</w:t>
            </w:r>
          </w:p>
          <w:p w:rsidR="001C6E0C" w:rsidRDefault="001C6E0C" w:rsidP="00FB37FC">
            <w:pPr>
              <w:jc w:val="center"/>
              <w:rPr>
                <w:rFonts w:asciiTheme="majorHAnsi" w:hAnsiTheme="majorHAnsi"/>
                <w:b/>
                <w:sz w:val="32"/>
                <w:szCs w:val="32"/>
                <w:highlight w:val="green"/>
              </w:rPr>
            </w:pPr>
            <w:r w:rsidRPr="00CA380C">
              <w:rPr>
                <w:rFonts w:asciiTheme="majorHAnsi" w:hAnsiTheme="majorHAnsi"/>
                <w:sz w:val="32"/>
                <w:szCs w:val="32"/>
              </w:rPr>
              <w:t>Erste Hilfe notwendig</w:t>
            </w:r>
          </w:p>
        </w:tc>
      </w:tr>
      <w:tr w:rsidR="001C6E0C" w:rsidRPr="00736448" w:rsidTr="00FB37FC">
        <w:tc>
          <w:tcPr>
            <w:tcW w:w="9968" w:type="dxa"/>
          </w:tcPr>
          <w:p w:rsidR="001C6E0C" w:rsidRPr="00CA380C" w:rsidRDefault="001C6E0C" w:rsidP="00FB37FC">
            <w:pPr>
              <w:ind w:left="360"/>
              <w:rPr>
                <w:rFonts w:asciiTheme="majorHAnsi" w:hAnsiTheme="majorHAnsi"/>
                <w:sz w:val="16"/>
                <w:szCs w:val="16"/>
              </w:rPr>
            </w:pP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 xml:space="preserve">Mitteilung an Leitung </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Benachrichtigung der Sorgeberechtigten</w:t>
            </w:r>
          </w:p>
          <w:p w:rsidR="001C6E0C" w:rsidRPr="0061448E" w:rsidRDefault="001C6E0C" w:rsidP="00FB37FC">
            <w:pPr>
              <w:spacing w:line="360" w:lineRule="auto"/>
              <w:ind w:firstLine="360"/>
              <w:rPr>
                <w:rFonts w:asciiTheme="majorHAnsi" w:hAnsiTheme="majorHAnsi"/>
                <w:sz w:val="24"/>
                <w:szCs w:val="24"/>
              </w:rPr>
            </w:pPr>
            <w:r w:rsidRPr="0061448E">
              <w:rPr>
                <w:rFonts w:asciiTheme="majorHAnsi" w:hAnsiTheme="majorHAnsi"/>
                <w:sz w:val="24"/>
                <w:szCs w:val="24"/>
              </w:rPr>
              <w:sym w:font="Symbol" w:char="F0AE"/>
            </w:r>
            <w:r w:rsidRPr="0061448E">
              <w:rPr>
                <w:rFonts w:asciiTheme="majorHAnsi" w:hAnsiTheme="majorHAnsi"/>
                <w:sz w:val="24"/>
                <w:szCs w:val="24"/>
              </w:rPr>
              <w:t xml:space="preserve"> Sorgeberechtigte sind erreichbar und erscheinen in Kürze</w:t>
            </w:r>
          </w:p>
          <w:p w:rsidR="001C6E0C" w:rsidRPr="0061448E" w:rsidRDefault="001C6E0C" w:rsidP="00FB37FC">
            <w:pPr>
              <w:spacing w:line="360" w:lineRule="auto"/>
              <w:ind w:left="360"/>
              <w:rPr>
                <w:rFonts w:asciiTheme="majorHAnsi" w:hAnsiTheme="majorHAnsi"/>
                <w:b/>
                <w:sz w:val="24"/>
                <w:szCs w:val="24"/>
              </w:rPr>
            </w:pPr>
            <w:r w:rsidRPr="0061448E">
              <w:rPr>
                <w:rFonts w:asciiTheme="majorHAnsi" w:hAnsiTheme="majorHAnsi"/>
                <w:sz w:val="24"/>
                <w:szCs w:val="24"/>
              </w:rPr>
              <w:sym w:font="Symbol" w:char="F0AE"/>
            </w:r>
            <w:r w:rsidRPr="0061448E">
              <w:rPr>
                <w:rFonts w:asciiTheme="majorHAnsi" w:hAnsiTheme="majorHAnsi"/>
                <w:sz w:val="24"/>
                <w:szCs w:val="24"/>
              </w:rPr>
              <w:t xml:space="preserve"> Sorgeberechtigte sind </w:t>
            </w:r>
            <w:r w:rsidRPr="0061448E">
              <w:rPr>
                <w:rFonts w:asciiTheme="majorHAnsi" w:hAnsiTheme="majorHAnsi"/>
                <w:b/>
                <w:sz w:val="24"/>
                <w:szCs w:val="24"/>
              </w:rPr>
              <w:t>nicht</w:t>
            </w:r>
            <w:r w:rsidRPr="0061448E">
              <w:rPr>
                <w:rFonts w:asciiTheme="majorHAnsi" w:hAnsiTheme="majorHAnsi"/>
                <w:sz w:val="24"/>
                <w:szCs w:val="24"/>
              </w:rPr>
              <w:t xml:space="preserve"> erreichbar oder können nicht kommen: </w:t>
            </w:r>
            <w:r w:rsidRPr="0061448E">
              <w:rPr>
                <w:rFonts w:asciiTheme="majorHAnsi" w:hAnsiTheme="majorHAnsi"/>
                <w:b/>
                <w:sz w:val="24"/>
                <w:szCs w:val="24"/>
                <w:highlight w:val="yellow"/>
              </w:rPr>
              <w:t>Notfallnummer 112 anrufen!</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Betreuen des Kindes bis zum Eintreffen der Sorgeberechtigten/Person unter Notfallrufnummer</w:t>
            </w:r>
          </w:p>
          <w:p w:rsidR="001C6E0C" w:rsidRPr="0061448E" w:rsidRDefault="001C6E0C" w:rsidP="00FB37FC">
            <w:pPr>
              <w:ind w:left="360"/>
              <w:rPr>
                <w:rFonts w:asciiTheme="majorHAnsi" w:hAnsiTheme="majorHAnsi"/>
                <w:b/>
                <w:sz w:val="16"/>
                <w:szCs w:val="16"/>
                <w:highlight w:val="green"/>
              </w:rPr>
            </w:pPr>
          </w:p>
        </w:tc>
      </w:tr>
      <w:tr w:rsidR="001C6E0C" w:rsidRPr="00736448" w:rsidTr="00FB37FC">
        <w:tc>
          <w:tcPr>
            <w:tcW w:w="9968" w:type="dxa"/>
            <w:shd w:val="clear" w:color="auto" w:fill="FF0000"/>
          </w:tcPr>
          <w:p w:rsidR="001C6E0C" w:rsidRPr="00CA380C" w:rsidRDefault="001C6E0C" w:rsidP="00FB37FC">
            <w:pPr>
              <w:jc w:val="center"/>
              <w:rPr>
                <w:rFonts w:asciiTheme="majorHAnsi" w:hAnsiTheme="majorHAnsi"/>
                <w:b/>
                <w:sz w:val="32"/>
                <w:szCs w:val="32"/>
              </w:rPr>
            </w:pPr>
            <w:r w:rsidRPr="00CA380C">
              <w:rPr>
                <w:rFonts w:asciiTheme="majorHAnsi" w:hAnsiTheme="majorHAnsi"/>
                <w:b/>
                <w:sz w:val="32"/>
                <w:szCs w:val="32"/>
              </w:rPr>
              <w:t>schwere Verletzung</w:t>
            </w:r>
          </w:p>
          <w:p w:rsidR="001C6E0C" w:rsidRPr="00CA380C" w:rsidRDefault="001C6E0C" w:rsidP="00FB37FC">
            <w:pPr>
              <w:jc w:val="center"/>
              <w:rPr>
                <w:rFonts w:asciiTheme="majorHAnsi" w:hAnsiTheme="majorHAnsi"/>
                <w:b/>
                <w:sz w:val="32"/>
                <w:szCs w:val="32"/>
              </w:rPr>
            </w:pPr>
            <w:r w:rsidRPr="00CA380C">
              <w:rPr>
                <w:rFonts w:asciiTheme="majorHAnsi" w:hAnsiTheme="majorHAnsi"/>
                <w:sz w:val="32"/>
                <w:szCs w:val="32"/>
              </w:rPr>
              <w:t>Erste Hilfe, lebensrettende Maßnahmen notwendig</w:t>
            </w:r>
          </w:p>
        </w:tc>
      </w:tr>
      <w:tr w:rsidR="001C6E0C" w:rsidRPr="00736448" w:rsidTr="00FB37FC">
        <w:tc>
          <w:tcPr>
            <w:tcW w:w="9968" w:type="dxa"/>
          </w:tcPr>
          <w:p w:rsidR="001C6E0C" w:rsidRPr="00CA380C" w:rsidRDefault="001C6E0C" w:rsidP="00FB37FC">
            <w:pPr>
              <w:ind w:left="360"/>
              <w:rPr>
                <w:rFonts w:asciiTheme="majorHAnsi" w:hAnsiTheme="majorHAnsi"/>
                <w:b/>
                <w:sz w:val="16"/>
                <w:szCs w:val="16"/>
              </w:rPr>
            </w:pPr>
          </w:p>
          <w:p w:rsidR="001C6E0C" w:rsidRPr="0061448E" w:rsidRDefault="001C6E0C" w:rsidP="001C6E0C">
            <w:pPr>
              <w:widowControl w:val="0"/>
              <w:numPr>
                <w:ilvl w:val="0"/>
                <w:numId w:val="2"/>
              </w:numPr>
              <w:spacing w:line="360" w:lineRule="auto"/>
              <w:rPr>
                <w:rFonts w:asciiTheme="majorHAnsi" w:hAnsiTheme="majorHAnsi"/>
                <w:b/>
                <w:sz w:val="24"/>
                <w:szCs w:val="24"/>
              </w:rPr>
            </w:pPr>
            <w:r w:rsidRPr="0061448E">
              <w:rPr>
                <w:rFonts w:asciiTheme="majorHAnsi" w:hAnsiTheme="majorHAnsi"/>
                <w:b/>
                <w:sz w:val="24"/>
                <w:szCs w:val="24"/>
                <w:highlight w:val="red"/>
              </w:rPr>
              <w:t>Notfallnummer 112 anrufen!</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 xml:space="preserve">Mitteilung an Leitung </w:t>
            </w:r>
          </w:p>
          <w:p w:rsidR="001C6E0C" w:rsidRPr="0061448E" w:rsidRDefault="001C6E0C" w:rsidP="001C6E0C">
            <w:pPr>
              <w:widowControl w:val="0"/>
              <w:numPr>
                <w:ilvl w:val="0"/>
                <w:numId w:val="2"/>
              </w:numPr>
              <w:spacing w:line="360" w:lineRule="auto"/>
              <w:rPr>
                <w:rFonts w:asciiTheme="majorHAnsi" w:hAnsiTheme="majorHAnsi"/>
                <w:sz w:val="24"/>
                <w:szCs w:val="24"/>
              </w:rPr>
            </w:pPr>
            <w:r w:rsidRPr="0061448E">
              <w:rPr>
                <w:rFonts w:asciiTheme="majorHAnsi" w:hAnsiTheme="majorHAnsi"/>
                <w:sz w:val="24"/>
                <w:szCs w:val="24"/>
              </w:rPr>
              <w:t>Benachrichtigung der Sorgeberechtigten</w:t>
            </w:r>
          </w:p>
          <w:p w:rsidR="001C6E0C" w:rsidRPr="0061448E" w:rsidRDefault="001C6E0C" w:rsidP="00FB37FC">
            <w:pPr>
              <w:spacing w:line="360" w:lineRule="auto"/>
              <w:ind w:firstLine="360"/>
              <w:rPr>
                <w:rFonts w:asciiTheme="majorHAnsi" w:hAnsiTheme="majorHAnsi"/>
                <w:sz w:val="24"/>
                <w:szCs w:val="24"/>
              </w:rPr>
            </w:pPr>
            <w:r w:rsidRPr="0061448E">
              <w:rPr>
                <w:rFonts w:asciiTheme="majorHAnsi" w:hAnsiTheme="majorHAnsi"/>
                <w:sz w:val="24"/>
                <w:szCs w:val="24"/>
              </w:rPr>
              <w:sym w:font="Symbol" w:char="F0AE"/>
            </w:r>
            <w:r w:rsidRPr="0061448E">
              <w:rPr>
                <w:rFonts w:asciiTheme="majorHAnsi" w:hAnsiTheme="majorHAnsi"/>
                <w:sz w:val="24"/>
                <w:szCs w:val="24"/>
              </w:rPr>
              <w:t xml:space="preserve"> Sorgeberechtigte sind erreichbar und erscheinen in Kürze</w:t>
            </w:r>
          </w:p>
          <w:p w:rsidR="001C6E0C" w:rsidRPr="0061448E" w:rsidRDefault="001C6E0C" w:rsidP="00FB37FC">
            <w:pPr>
              <w:spacing w:line="360" w:lineRule="auto"/>
              <w:ind w:left="360"/>
              <w:rPr>
                <w:rFonts w:asciiTheme="majorHAnsi" w:hAnsiTheme="majorHAnsi"/>
                <w:sz w:val="24"/>
                <w:szCs w:val="24"/>
              </w:rPr>
            </w:pPr>
            <w:r w:rsidRPr="0061448E">
              <w:rPr>
                <w:rFonts w:asciiTheme="majorHAnsi" w:hAnsiTheme="majorHAnsi"/>
                <w:sz w:val="24"/>
                <w:szCs w:val="24"/>
              </w:rPr>
              <w:sym w:font="Symbol" w:char="F0AE"/>
            </w:r>
            <w:r w:rsidRPr="0061448E">
              <w:rPr>
                <w:rFonts w:asciiTheme="majorHAnsi" w:hAnsiTheme="majorHAnsi"/>
                <w:sz w:val="24"/>
                <w:szCs w:val="24"/>
              </w:rPr>
              <w:t xml:space="preserve"> Sorgeberechtigte kommen direkt ins Krankenhaus: Begleitung des Kindes ins Krankenhaus und Betreuung bis zum Eintreffen der Sorgeberechtigten</w:t>
            </w:r>
          </w:p>
          <w:p w:rsidR="001C6E0C" w:rsidRPr="0061448E" w:rsidRDefault="001C6E0C" w:rsidP="00FB37FC">
            <w:pPr>
              <w:ind w:left="360"/>
              <w:rPr>
                <w:rFonts w:asciiTheme="majorHAnsi" w:hAnsiTheme="majorHAnsi"/>
                <w:b/>
                <w:sz w:val="16"/>
                <w:szCs w:val="16"/>
                <w:highlight w:val="green"/>
              </w:rPr>
            </w:pPr>
          </w:p>
        </w:tc>
      </w:tr>
    </w:tbl>
    <w:p w:rsidR="001C6E0C" w:rsidRPr="0061448E" w:rsidRDefault="001C6E0C" w:rsidP="001C6E0C">
      <w:pPr>
        <w:rPr>
          <w:rFonts w:asciiTheme="majorHAnsi" w:hAnsiTheme="majorHAnsi"/>
          <w:b/>
          <w:sz w:val="16"/>
          <w:szCs w:val="16"/>
          <w:u w:val="single"/>
        </w:rPr>
      </w:pPr>
    </w:p>
    <w:p w:rsidR="001C6E0C" w:rsidRPr="0061448E" w:rsidRDefault="001C6E0C" w:rsidP="001C6E0C">
      <w:pPr>
        <w:rPr>
          <w:rFonts w:asciiTheme="majorHAnsi" w:hAnsiTheme="majorHAnsi"/>
          <w:b/>
          <w:sz w:val="16"/>
          <w:szCs w:val="16"/>
          <w:u w:val="single"/>
        </w:rPr>
      </w:pPr>
    </w:p>
    <w:p w:rsidR="001C6E0C" w:rsidRPr="0061448E" w:rsidRDefault="001C6E0C" w:rsidP="001C6E0C">
      <w:pPr>
        <w:rPr>
          <w:rFonts w:asciiTheme="majorHAnsi" w:hAnsiTheme="majorHAnsi"/>
          <w:b/>
          <w:sz w:val="28"/>
          <w:szCs w:val="28"/>
        </w:rPr>
      </w:pPr>
      <w:r w:rsidRPr="0061448E">
        <w:rPr>
          <w:rFonts w:asciiTheme="majorHAnsi" w:hAnsiTheme="majorHAnsi"/>
          <w:b/>
          <w:sz w:val="28"/>
          <w:szCs w:val="28"/>
          <w:u w:val="single"/>
        </w:rPr>
        <w:t>Generell gilt:</w:t>
      </w:r>
      <w:r w:rsidRPr="0061448E">
        <w:rPr>
          <w:rFonts w:asciiTheme="majorHAnsi" w:hAnsiTheme="majorHAnsi"/>
          <w:b/>
          <w:sz w:val="28"/>
          <w:szCs w:val="28"/>
        </w:rPr>
        <w:t xml:space="preserve"> Mitarbeite</w:t>
      </w:r>
      <w:r w:rsidR="0052215E">
        <w:rPr>
          <w:rFonts w:asciiTheme="majorHAnsi" w:hAnsiTheme="majorHAnsi"/>
          <w:b/>
          <w:sz w:val="28"/>
          <w:szCs w:val="28"/>
        </w:rPr>
        <w:t>nde</w:t>
      </w:r>
      <w:bookmarkStart w:id="0" w:name="_GoBack"/>
      <w:bookmarkEnd w:id="0"/>
      <w:r w:rsidRPr="0061448E">
        <w:rPr>
          <w:rFonts w:asciiTheme="majorHAnsi" w:hAnsiTheme="majorHAnsi"/>
          <w:b/>
          <w:sz w:val="28"/>
          <w:szCs w:val="28"/>
        </w:rPr>
        <w:t xml:space="preserve"> und Honorarkräfte dürfen ohne Genehmigung der Sorgeberechtigten keinerlei Medikamente verabreichen!</w:t>
      </w:r>
    </w:p>
    <w:p w:rsidR="00C16723" w:rsidRDefault="00C16723"/>
    <w:sectPr w:rsidR="00C16723" w:rsidSect="005B4561">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Pro Book">
    <w:altName w:val="Franklin Gothic Medium Cond"/>
    <w:panose1 w:val="00000000000000000000"/>
    <w:charset w:val="00"/>
    <w:family w:val="modern"/>
    <w:notTrueType/>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7D35"/>
    <w:multiLevelType w:val="hybridMultilevel"/>
    <w:tmpl w:val="7EB6AB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nsid w:val="18AD5A72"/>
    <w:multiLevelType w:val="hybridMultilevel"/>
    <w:tmpl w:val="39084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1"/>
    <w:rsid w:val="001C6E0C"/>
    <w:rsid w:val="003170F6"/>
    <w:rsid w:val="0052215E"/>
    <w:rsid w:val="005B4561"/>
    <w:rsid w:val="00AA74FE"/>
    <w:rsid w:val="00C167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4495-009A-45F2-86CB-495026C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6E0C"/>
    <w:pPr>
      <w:spacing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cp:lastModifiedBy>
  <cp:revision>2</cp:revision>
  <dcterms:created xsi:type="dcterms:W3CDTF">2021-03-26T07:28:00Z</dcterms:created>
  <dcterms:modified xsi:type="dcterms:W3CDTF">2021-03-26T07:28:00Z</dcterms:modified>
</cp:coreProperties>
</file>